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C102" w14:textId="157B172A" w:rsidR="00F87164" w:rsidRPr="00304046" w:rsidRDefault="00F87164" w:rsidP="00F87164">
      <w:pPr>
        <w:pBdr>
          <w:bottom w:val="single" w:sz="12" w:space="1" w:color="auto"/>
        </w:pBdr>
        <w:spacing w:after="60" w:line="240" w:lineRule="auto"/>
        <w:jc w:val="center"/>
        <w:rPr>
          <w:rFonts w:ascii="Calibri" w:hAnsi="Calibri"/>
          <w:b/>
          <w:lang w:val="de-DE"/>
        </w:rPr>
      </w:pPr>
      <w:bookmarkStart w:id="0" w:name="_GoBack"/>
      <w:bookmarkEnd w:id="0"/>
      <w:r w:rsidRPr="00304046">
        <w:rPr>
          <w:rFonts w:ascii="Calibri" w:hAnsi="Calibri"/>
          <w:b/>
          <w:lang w:val="de-DE"/>
        </w:rPr>
        <w:t>ADRIAN WILLIAMS</w:t>
      </w:r>
    </w:p>
    <w:p w14:paraId="7BEB269A" w14:textId="77777777" w:rsidR="00F87164" w:rsidRPr="00F30980" w:rsidRDefault="00F87164" w:rsidP="00F87164">
      <w:pPr>
        <w:pBdr>
          <w:bottom w:val="single" w:sz="12" w:space="1" w:color="auto"/>
        </w:pBdr>
        <w:spacing w:after="60" w:line="240" w:lineRule="auto"/>
        <w:rPr>
          <w:rFonts w:ascii="Calibri" w:hAnsi="Calibri"/>
          <w:lang w:val="de-DE"/>
        </w:rPr>
      </w:pPr>
    </w:p>
    <w:p w14:paraId="43E20E97" w14:textId="77777777" w:rsidR="00F87164" w:rsidRPr="00F30980" w:rsidRDefault="00F87164" w:rsidP="00F87164">
      <w:pPr>
        <w:spacing w:after="0"/>
        <w:rPr>
          <w:rFonts w:ascii="Garamond" w:hAnsi="Garamond" w:cs="Calibri Light"/>
          <w:lang w:val="de-DE"/>
        </w:rPr>
      </w:pPr>
    </w:p>
    <w:p w14:paraId="52569EC8" w14:textId="77777777" w:rsidR="00F87164" w:rsidRPr="00F30980" w:rsidRDefault="00F87164" w:rsidP="00F87164">
      <w:pPr>
        <w:spacing w:after="120" w:line="240" w:lineRule="auto"/>
        <w:rPr>
          <w:rFonts w:ascii="Calibri Light" w:hAnsi="Calibri Light" w:cs="Calibri Light"/>
          <w:sz w:val="22"/>
        </w:rPr>
      </w:pPr>
      <w:r w:rsidRPr="00F30980">
        <w:rPr>
          <w:rFonts w:ascii="Calibri Light" w:hAnsi="Calibri Light" w:cs="Calibri Light"/>
          <w:sz w:val="22"/>
        </w:rPr>
        <w:t>Adrian is a highly experienced barrister with extensive expertise across a broad range of areas of criminal and civil law. He has developed a strong reputation in matters concerning government agencies in civil, criminal and regulatory contexts, as well as acting for institutions and conducting proceedings involving unrepresented litigants.</w:t>
      </w:r>
    </w:p>
    <w:p w14:paraId="60163605" w14:textId="77777777" w:rsidR="00F87164" w:rsidRPr="0007502B" w:rsidRDefault="00F87164" w:rsidP="00F87164">
      <w:pPr>
        <w:spacing w:after="120" w:line="240" w:lineRule="auto"/>
        <w:rPr>
          <w:rFonts w:ascii="Calibri Light" w:hAnsi="Calibri Light" w:cs="Calibri Light"/>
          <w:sz w:val="22"/>
        </w:rPr>
      </w:pPr>
      <w:r w:rsidRPr="00F30980">
        <w:rPr>
          <w:rFonts w:ascii="Calibri Light" w:hAnsi="Calibri Light" w:cs="Calibri Light"/>
          <w:sz w:val="22"/>
        </w:rPr>
        <w:t>His experience extends to appearing in inquests, general criminal law (particularly Commonwealth crime, such as terrorism), regulatory prosecutions, commissions of inquiry, state administrative law matters and proceedings involving intentional torts, care and protection matters, professional disciplinary and insurance disputes. He also possesses experience in bankruptcy proceedings, equity and adoption matters.</w:t>
      </w:r>
    </w:p>
    <w:p w14:paraId="4F235613" w14:textId="2212CB05" w:rsidR="00F87164" w:rsidRPr="00F30980" w:rsidRDefault="00F87164" w:rsidP="00F87164">
      <w:pPr>
        <w:spacing w:after="120" w:line="240" w:lineRule="auto"/>
        <w:rPr>
          <w:rFonts w:ascii="Calibri Light" w:hAnsi="Calibri Light" w:cs="Calibri Light"/>
          <w:sz w:val="22"/>
        </w:rPr>
      </w:pPr>
      <w:r w:rsidRPr="00F30980">
        <w:rPr>
          <w:rFonts w:ascii="Calibri Light" w:hAnsi="Calibri Light" w:cs="Calibri Light"/>
          <w:sz w:val="22"/>
        </w:rPr>
        <w:t>Regularly appearing in Courts and Tribunals across New South Wales at trial and appellate level for individuals, the Commonwealth and State Government and the New South Wales Police Force, Adrian’s expansive advocacy practice sees him appearing in a diverse range of jurisdictions including the Supreme Court of New South Wales, District Court of New South Wales, NSW Court of Appeal and NSW Court of Criminal Appeal. He also possesses experience in the Local Court of New South Wales, NSW Children’s Court, NSW Coroner’s Court, ACT Magistrate’s Court, Supreme Court of the Australian Capital Territory, Federal Court of Australia, Federal Circuit Court</w:t>
      </w:r>
      <w:r w:rsidR="00304046">
        <w:rPr>
          <w:rFonts w:ascii="Calibri Light" w:hAnsi="Calibri Light" w:cs="Calibri Light"/>
          <w:sz w:val="22"/>
        </w:rPr>
        <w:t xml:space="preserve">, </w:t>
      </w:r>
      <w:r w:rsidRPr="00F30980">
        <w:rPr>
          <w:rFonts w:ascii="Calibri Light" w:hAnsi="Calibri Light" w:cs="Calibri Light"/>
          <w:sz w:val="22"/>
        </w:rPr>
        <w:t>NSW Civil and Administrative Tribunal (NCAT) and formerly the Medical Tribunal. He largely appears unled, including in appeals and is increasingly and routinely appearing with a more junior counsel. In the larger, more complex matters, Adrian appears with Senior Counsel.</w:t>
      </w:r>
    </w:p>
    <w:p w14:paraId="19AA0533" w14:textId="77777777" w:rsidR="00F87164" w:rsidRPr="00F30980" w:rsidRDefault="00F87164" w:rsidP="00F87164">
      <w:pPr>
        <w:rPr>
          <w:rFonts w:ascii="Calibri Light" w:hAnsi="Calibri Light" w:cs="Calibri Light"/>
          <w:sz w:val="22"/>
        </w:rPr>
      </w:pPr>
      <w:r w:rsidRPr="00F30980">
        <w:rPr>
          <w:rFonts w:ascii="Calibri Light" w:hAnsi="Calibri Light" w:cs="Calibri Light"/>
          <w:sz w:val="22"/>
        </w:rPr>
        <w:t>Prior to being called to the Bar, Adrian practised as a solicitor in reputable mid-tier law firms, mainly in the areas of general medico-legal, torts, criminal law, general commercial litigation and conducted matters on behalf of LawCover. He holds a Bachelor of Laws and a Bachelor of Arts from the University of New South Wales.</w:t>
      </w:r>
    </w:p>
    <w:p w14:paraId="2A963764" w14:textId="77777777" w:rsidR="00F87164" w:rsidRPr="00205EF6" w:rsidRDefault="00F87164" w:rsidP="00F87164">
      <w:pPr>
        <w:pBdr>
          <w:bottom w:val="single" w:sz="12" w:space="1" w:color="auto"/>
        </w:pBdr>
        <w:spacing w:after="60" w:line="240" w:lineRule="auto"/>
        <w:rPr>
          <w:rFonts w:ascii="Calibri" w:hAnsi="Calibri"/>
        </w:rPr>
      </w:pPr>
    </w:p>
    <w:p w14:paraId="59C180FE" w14:textId="77777777" w:rsidR="00881DD6" w:rsidRDefault="009F3455"/>
    <w:sectPr w:rsidR="00881DD6" w:rsidSect="003366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4"/>
    <w:rsid w:val="0009014E"/>
    <w:rsid w:val="0010617B"/>
    <w:rsid w:val="001E312C"/>
    <w:rsid w:val="00213CD6"/>
    <w:rsid w:val="00276B62"/>
    <w:rsid w:val="002879C2"/>
    <w:rsid w:val="00304046"/>
    <w:rsid w:val="00336674"/>
    <w:rsid w:val="00711184"/>
    <w:rsid w:val="009F3455"/>
    <w:rsid w:val="00A1594F"/>
    <w:rsid w:val="00A80898"/>
    <w:rsid w:val="00B02686"/>
    <w:rsid w:val="00B5287A"/>
    <w:rsid w:val="00C11025"/>
    <w:rsid w:val="00F8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94A"/>
  <w15:chartTrackingRefBased/>
  <w15:docId w15:val="{4701893C-1927-C546-A10E-E3DCC60B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164"/>
    <w:pPr>
      <w:spacing w:after="200" w:line="276" w:lineRule="auto"/>
      <w:jc w:val="both"/>
    </w:pPr>
    <w:rPr>
      <w:rFonts w:ascii="Century Gothic" w:hAnsi="Century Gothic"/>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2019-05-27T03:00:00Z</dcterms:created>
  <dcterms:modified xsi:type="dcterms:W3CDTF">2019-06-03T23:34:00Z</dcterms:modified>
</cp:coreProperties>
</file>